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9" w:type="dxa"/>
        <w:tblCellMar>
          <w:left w:w="0" w:type="dxa"/>
          <w:right w:w="0" w:type="dxa"/>
        </w:tblCellMar>
        <w:tblLook w:val="04A0"/>
      </w:tblPr>
      <w:tblGrid>
        <w:gridCol w:w="3296"/>
        <w:gridCol w:w="5543"/>
      </w:tblGrid>
      <w:tr w:rsidR="006D2DA2" w:rsidRPr="006D2DA2" w:rsidTr="006D2DA2">
        <w:trPr>
          <w:trHeight w:val="635"/>
        </w:trPr>
        <w:tc>
          <w:tcPr>
            <w:tcW w:w="3296" w:type="dxa"/>
            <w:tcMar>
              <w:top w:w="0" w:type="dxa"/>
              <w:left w:w="108" w:type="dxa"/>
              <w:bottom w:w="0" w:type="dxa"/>
              <w:right w:w="108" w:type="dxa"/>
            </w:tcMar>
            <w:hideMark/>
          </w:tcPr>
          <w:p w:rsidR="006D2DA2" w:rsidRPr="006D2DA2" w:rsidRDefault="006D2DA2" w:rsidP="006D2DA2">
            <w:pPr>
              <w:spacing w:before="120" w:after="0" w:line="240" w:lineRule="auto"/>
              <w:jc w:val="center"/>
              <w:rPr>
                <w:rFonts w:eastAsia="Times New Roman"/>
                <w:sz w:val="24"/>
              </w:rPr>
            </w:pPr>
            <w:r w:rsidRPr="006D2DA2">
              <w:rPr>
                <w:rFonts w:eastAsia="Times New Roman"/>
                <w:b/>
                <w:bCs/>
                <w:sz w:val="24"/>
              </w:rPr>
              <w:t>CHÍNH PHỦ</w:t>
            </w:r>
            <w:r w:rsidRPr="006D2DA2">
              <w:rPr>
                <w:rFonts w:eastAsia="Times New Roman"/>
                <w:b/>
                <w:bCs/>
                <w:sz w:val="24"/>
              </w:rPr>
              <w:br/>
              <w:t>--------</w:t>
            </w:r>
          </w:p>
        </w:tc>
        <w:tc>
          <w:tcPr>
            <w:tcW w:w="5543" w:type="dxa"/>
            <w:tcMar>
              <w:top w:w="0" w:type="dxa"/>
              <w:left w:w="108" w:type="dxa"/>
              <w:bottom w:w="0" w:type="dxa"/>
              <w:right w:w="108" w:type="dxa"/>
            </w:tcMar>
            <w:hideMark/>
          </w:tcPr>
          <w:p w:rsidR="006D2DA2" w:rsidRPr="006D2DA2" w:rsidRDefault="006D2DA2" w:rsidP="006D2DA2">
            <w:pPr>
              <w:spacing w:before="120" w:after="0" w:line="240" w:lineRule="auto"/>
              <w:jc w:val="center"/>
              <w:rPr>
                <w:rFonts w:eastAsia="Times New Roman"/>
                <w:sz w:val="24"/>
              </w:rPr>
            </w:pPr>
            <w:r w:rsidRPr="006D2DA2">
              <w:rPr>
                <w:rFonts w:eastAsia="Times New Roman"/>
                <w:b/>
                <w:bCs/>
                <w:sz w:val="24"/>
              </w:rPr>
              <w:t>CỘNG HÒA XÃ HỘI CHỦ NGHĨA VIỆT NAM</w:t>
            </w:r>
            <w:r w:rsidRPr="006D2DA2">
              <w:rPr>
                <w:rFonts w:eastAsia="Times New Roman"/>
                <w:b/>
                <w:bCs/>
                <w:sz w:val="24"/>
              </w:rPr>
              <w:br/>
              <w:t>Độc lập - Tự do - Hạnh phúc</w:t>
            </w:r>
            <w:r w:rsidRPr="006D2DA2">
              <w:rPr>
                <w:rFonts w:eastAsia="Times New Roman"/>
                <w:b/>
                <w:bCs/>
                <w:sz w:val="24"/>
              </w:rPr>
              <w:br/>
              <w:t>----------------</w:t>
            </w:r>
          </w:p>
        </w:tc>
      </w:tr>
      <w:tr w:rsidR="006D2DA2" w:rsidRPr="006D2DA2" w:rsidTr="006D2DA2">
        <w:trPr>
          <w:trHeight w:val="274"/>
        </w:trPr>
        <w:tc>
          <w:tcPr>
            <w:tcW w:w="3296" w:type="dxa"/>
            <w:tcMar>
              <w:top w:w="0" w:type="dxa"/>
              <w:left w:w="108" w:type="dxa"/>
              <w:bottom w:w="0" w:type="dxa"/>
              <w:right w:w="108" w:type="dxa"/>
            </w:tcMar>
            <w:hideMark/>
          </w:tcPr>
          <w:p w:rsidR="006D2DA2" w:rsidRPr="006D2DA2" w:rsidRDefault="006D2DA2" w:rsidP="006D2DA2">
            <w:pPr>
              <w:spacing w:before="120" w:after="0" w:line="240" w:lineRule="auto"/>
              <w:jc w:val="center"/>
              <w:rPr>
                <w:rFonts w:eastAsia="Times New Roman"/>
                <w:sz w:val="24"/>
              </w:rPr>
            </w:pPr>
            <w:r w:rsidRPr="006D2DA2">
              <w:rPr>
                <w:rFonts w:eastAsia="Times New Roman"/>
                <w:sz w:val="24"/>
              </w:rPr>
              <w:t>Số: 18/2012/NĐ-CP</w:t>
            </w:r>
          </w:p>
        </w:tc>
        <w:tc>
          <w:tcPr>
            <w:tcW w:w="5543" w:type="dxa"/>
            <w:tcMar>
              <w:top w:w="0" w:type="dxa"/>
              <w:left w:w="108" w:type="dxa"/>
              <w:bottom w:w="0" w:type="dxa"/>
              <w:right w:w="108" w:type="dxa"/>
            </w:tcMar>
            <w:hideMark/>
          </w:tcPr>
          <w:p w:rsidR="006D2DA2" w:rsidRPr="006D2DA2" w:rsidRDefault="006D2DA2" w:rsidP="006D2DA2">
            <w:pPr>
              <w:spacing w:before="120" w:after="0" w:line="240" w:lineRule="auto"/>
              <w:jc w:val="right"/>
              <w:rPr>
                <w:rFonts w:eastAsia="Times New Roman"/>
                <w:sz w:val="24"/>
              </w:rPr>
            </w:pPr>
            <w:r w:rsidRPr="006D2DA2">
              <w:rPr>
                <w:rFonts w:eastAsia="Times New Roman"/>
                <w:i/>
                <w:iCs/>
                <w:sz w:val="24"/>
              </w:rPr>
              <w:t>Hà Nội, ngày 13 tháng 03 năm 2012</w:t>
            </w:r>
          </w:p>
        </w:tc>
      </w:tr>
    </w:tbl>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w:t>
      </w:r>
    </w:p>
    <w:p w:rsidR="006D2DA2" w:rsidRPr="006D2DA2" w:rsidRDefault="006D2DA2" w:rsidP="006D2DA2">
      <w:pPr>
        <w:spacing w:before="120" w:after="0" w:line="240" w:lineRule="auto"/>
        <w:jc w:val="center"/>
        <w:rPr>
          <w:rFonts w:eastAsia="Times New Roman"/>
          <w:color w:val="000000"/>
          <w:sz w:val="27"/>
          <w:szCs w:val="27"/>
        </w:rPr>
      </w:pPr>
      <w:r w:rsidRPr="006D2DA2">
        <w:rPr>
          <w:rFonts w:eastAsia="Times New Roman"/>
          <w:b/>
          <w:bCs/>
          <w:color w:val="000000"/>
          <w:sz w:val="27"/>
          <w:szCs w:val="27"/>
        </w:rPr>
        <w:t>NGHỊ ĐỊNH</w:t>
      </w:r>
    </w:p>
    <w:p w:rsidR="006D2DA2" w:rsidRPr="006D2DA2" w:rsidRDefault="006D2DA2" w:rsidP="006D2DA2">
      <w:pPr>
        <w:spacing w:before="120" w:after="0" w:line="240" w:lineRule="auto"/>
        <w:jc w:val="center"/>
        <w:rPr>
          <w:rFonts w:eastAsia="Times New Roman"/>
          <w:color w:val="000000"/>
          <w:sz w:val="27"/>
          <w:szCs w:val="27"/>
        </w:rPr>
      </w:pPr>
      <w:r w:rsidRPr="006D2DA2">
        <w:rPr>
          <w:rFonts w:eastAsia="Times New Roman"/>
          <w:color w:val="000000"/>
          <w:sz w:val="27"/>
          <w:szCs w:val="27"/>
        </w:rPr>
        <w:t>QUỸ BẢO TRÌ ĐƯỜNG BỘ</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i/>
          <w:iCs/>
          <w:color w:val="000000"/>
          <w:sz w:val="27"/>
          <w:szCs w:val="27"/>
        </w:rPr>
        <w:t>Căn cứ Luật Tổ chức Chính phủ ngày 25 tháng 12 năm 2001;</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i/>
          <w:iCs/>
          <w:color w:val="000000"/>
          <w:sz w:val="27"/>
          <w:szCs w:val="27"/>
        </w:rPr>
        <w:t>Căn cứ Luật Giao thông đường bộ ngày 13 tháng 11 năm 2008;</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i/>
          <w:iCs/>
          <w:color w:val="000000"/>
          <w:sz w:val="27"/>
          <w:szCs w:val="27"/>
        </w:rPr>
        <w:t>Theo đề nghị của Bộ trưởng Bộ Giao thông vân tải;</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i/>
          <w:iCs/>
          <w:color w:val="000000"/>
          <w:sz w:val="27"/>
          <w:szCs w:val="27"/>
        </w:rPr>
        <w:t>Chính phủ ban hành Nghị định Quỹ bảo trì đường bộ,</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Chương 1.</w:t>
      </w:r>
      <w:proofErr w:type="gramEnd"/>
    </w:p>
    <w:p w:rsidR="006D2DA2" w:rsidRPr="006D2DA2" w:rsidRDefault="006D2DA2" w:rsidP="006D2DA2">
      <w:pPr>
        <w:spacing w:before="120" w:after="0" w:line="240" w:lineRule="auto"/>
        <w:jc w:val="center"/>
        <w:rPr>
          <w:rFonts w:eastAsia="Times New Roman"/>
          <w:color w:val="000000"/>
          <w:sz w:val="27"/>
          <w:szCs w:val="27"/>
        </w:rPr>
      </w:pPr>
      <w:r w:rsidRPr="006D2DA2">
        <w:rPr>
          <w:rFonts w:eastAsia="Times New Roman"/>
          <w:b/>
          <w:bCs/>
          <w:color w:val="000000"/>
          <w:sz w:val="27"/>
          <w:szCs w:val="27"/>
        </w:rPr>
        <w:t>QUY ĐỊNH CHUNG</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Điều 1.</w:t>
      </w:r>
      <w:proofErr w:type="gramEnd"/>
      <w:r w:rsidRPr="006D2DA2">
        <w:rPr>
          <w:rFonts w:eastAsia="Times New Roman"/>
          <w:b/>
          <w:bCs/>
          <w:color w:val="000000"/>
          <w:sz w:val="27"/>
          <w:szCs w:val="27"/>
        </w:rPr>
        <w:t xml:space="preserve"> Phạm </w:t>
      </w:r>
      <w:proofErr w:type="gramStart"/>
      <w:r w:rsidRPr="006D2DA2">
        <w:rPr>
          <w:rFonts w:eastAsia="Times New Roman"/>
          <w:b/>
          <w:bCs/>
          <w:color w:val="000000"/>
          <w:sz w:val="27"/>
          <w:szCs w:val="27"/>
        </w:rPr>
        <w:t>vi</w:t>
      </w:r>
      <w:proofErr w:type="gramEnd"/>
      <w:r w:rsidRPr="006D2DA2">
        <w:rPr>
          <w:rFonts w:eastAsia="Times New Roman"/>
          <w:b/>
          <w:bCs/>
          <w:color w:val="000000"/>
          <w:sz w:val="27"/>
          <w:szCs w:val="27"/>
        </w:rPr>
        <w:t xml:space="preserve"> điều chỉnh</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color w:val="000000"/>
          <w:sz w:val="27"/>
          <w:szCs w:val="27"/>
        </w:rPr>
        <w:t>Nghị định này quy định về việc lập, quản lý và sử dụng Quỹ bảo trì đường bộ (sau đây gọi tắt là Quỹ).</w:t>
      </w:r>
      <w:proofErr w:type="gramEnd"/>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Điều 2.</w:t>
      </w:r>
      <w:proofErr w:type="gramEnd"/>
      <w:r w:rsidRPr="006D2DA2">
        <w:rPr>
          <w:rFonts w:eastAsia="Times New Roman"/>
          <w:b/>
          <w:bCs/>
          <w:color w:val="000000"/>
          <w:sz w:val="27"/>
          <w:szCs w:val="27"/>
        </w:rPr>
        <w:t xml:space="preserve"> Đối tượng áp dụng</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color w:val="000000"/>
          <w:sz w:val="27"/>
          <w:szCs w:val="27"/>
        </w:rPr>
        <w:t>Nghị định áp dụng đối với tổ chức, cá nhân có liên quan đến việc hình thành, sử dụng, quản lý Quỹ.</w:t>
      </w:r>
      <w:proofErr w:type="gramEnd"/>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Điều 3.</w:t>
      </w:r>
      <w:proofErr w:type="gramEnd"/>
      <w:r w:rsidRPr="006D2DA2">
        <w:rPr>
          <w:rFonts w:eastAsia="Times New Roman"/>
          <w:b/>
          <w:bCs/>
          <w:color w:val="000000"/>
          <w:sz w:val="27"/>
          <w:szCs w:val="27"/>
        </w:rPr>
        <w:t xml:space="preserve"> Nguyên tắc hoạt động của Quỹ</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1. Quỹ hoạt động không vì mục đích lợi nhuận.</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2. Bảo đảm công khai, minh bạch, hiệu quả, sử dụng đúng mục đích và phù hợp với quy định của pháp luật.</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Điều 4.</w:t>
      </w:r>
      <w:proofErr w:type="gramEnd"/>
      <w:r w:rsidRPr="006D2DA2">
        <w:rPr>
          <w:rFonts w:eastAsia="Times New Roman"/>
          <w:b/>
          <w:bCs/>
          <w:color w:val="000000"/>
          <w:sz w:val="27"/>
          <w:szCs w:val="27"/>
        </w:rPr>
        <w:t xml:space="preserve"> Thành lập Quỹ</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1. Quỹ bảo trì đường bộ là Quỹ của Nhà nước, có tư cách pháp nhân, có con dấu và tài khoản mở tại Kho bạc Nhà nước. </w:t>
      </w:r>
      <w:proofErr w:type="gramStart"/>
      <w:r w:rsidRPr="006D2DA2">
        <w:rPr>
          <w:rFonts w:eastAsia="Times New Roman"/>
          <w:color w:val="000000"/>
          <w:sz w:val="27"/>
          <w:szCs w:val="27"/>
        </w:rPr>
        <w:t>Quỹ được thành lập ở cấp Trung ương gọi là Quỹ trung ương và được thành lập ở cấp tỉnh gọi là Quỹ địa phương.</w:t>
      </w:r>
      <w:proofErr w:type="gramEnd"/>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2. Thủ tướng Chính phủ quyết định cơ cấu tổ chức, bộ máy quản lý Quỹ và ban hành quy chế hoạt động của Hội đồng quản lý Quỹ trung ương.</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3. Căn cứ cơ cấu tổ chức, bộ máy quản lý và quy chế hoạt động của Hội đồng quản lý Quỹ trung ương; Ủy ban nhân dân cấp tỉnh quyết định cơ cấu tổ chức bộ máy quản lý Quỹ và ban hành quy chế hoạt động của Hội đồng quản lý Quỹ địa phương cho phù hợp.</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lastRenderedPageBreak/>
        <w:t>Chương 2.</w:t>
      </w:r>
      <w:proofErr w:type="gramEnd"/>
    </w:p>
    <w:p w:rsidR="006D2DA2" w:rsidRPr="006D2DA2" w:rsidRDefault="006D2DA2" w:rsidP="006D2DA2">
      <w:pPr>
        <w:spacing w:before="120" w:after="0" w:line="240" w:lineRule="auto"/>
        <w:jc w:val="center"/>
        <w:rPr>
          <w:rFonts w:eastAsia="Times New Roman"/>
          <w:color w:val="000000"/>
          <w:sz w:val="27"/>
          <w:szCs w:val="27"/>
        </w:rPr>
      </w:pPr>
      <w:r w:rsidRPr="006D2DA2">
        <w:rPr>
          <w:rFonts w:eastAsia="Times New Roman"/>
          <w:b/>
          <w:bCs/>
          <w:color w:val="000000"/>
          <w:sz w:val="27"/>
          <w:szCs w:val="27"/>
        </w:rPr>
        <w:t>NGUỒN TÀI CHÍNH, QUẢN LÝ SỬ DỤNG QUỸ</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Điều 5.</w:t>
      </w:r>
      <w:proofErr w:type="gramEnd"/>
      <w:r w:rsidRPr="006D2DA2">
        <w:rPr>
          <w:rFonts w:eastAsia="Times New Roman"/>
          <w:b/>
          <w:bCs/>
          <w:color w:val="000000"/>
          <w:sz w:val="27"/>
          <w:szCs w:val="27"/>
        </w:rPr>
        <w:t xml:space="preserve"> Nguồn hình thành Quỹ</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1. Phí sử dụng đường bộ được thu hàng năm trên đầu phương tiện giao thông cơ giới đường bộ, bao gồm: xe ô tô, máy kéo; rơ moóc, sơ mi rơ moóc được kéo bởi ô tô, máy kéo (sau đây gọi chung là xe ô tô) và xe mô tô hai bánh, xe mô tô ba bánh, xe gắn máy (sau đây gọi chung là mô tô).</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2. Ngân sách nhà nước cấp bổ sung hàng năm cho Quỹ: ngân sách trung ương cấp bổ sung cho Quỹ trung ương; ngân sách cấp tỉnh cấp bổ sung cho Quỹ địa phương.</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3. Các nguồn </w:t>
      </w:r>
      <w:proofErr w:type="gramStart"/>
      <w:r w:rsidRPr="006D2DA2">
        <w:rPr>
          <w:rFonts w:eastAsia="Times New Roman"/>
          <w:color w:val="000000"/>
          <w:sz w:val="27"/>
          <w:szCs w:val="27"/>
        </w:rPr>
        <w:t>thu</w:t>
      </w:r>
      <w:proofErr w:type="gramEnd"/>
      <w:r w:rsidRPr="006D2DA2">
        <w:rPr>
          <w:rFonts w:eastAsia="Times New Roman"/>
          <w:color w:val="000000"/>
          <w:sz w:val="27"/>
          <w:szCs w:val="27"/>
        </w:rPr>
        <w:t xml:space="preserve"> liên quan đến sử dụng đường bộ và các nguồn thu khác theo quy định của pháp luật.</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Điều 6.</w:t>
      </w:r>
      <w:proofErr w:type="gramEnd"/>
      <w:r w:rsidRPr="006D2DA2">
        <w:rPr>
          <w:rFonts w:eastAsia="Times New Roman"/>
          <w:b/>
          <w:bCs/>
          <w:color w:val="000000"/>
          <w:sz w:val="27"/>
          <w:szCs w:val="27"/>
        </w:rPr>
        <w:t xml:space="preserve"> Nguyên tắc phân chia nguồn </w:t>
      </w:r>
      <w:proofErr w:type="gramStart"/>
      <w:r w:rsidRPr="006D2DA2">
        <w:rPr>
          <w:rFonts w:eastAsia="Times New Roman"/>
          <w:b/>
          <w:bCs/>
          <w:color w:val="000000"/>
          <w:sz w:val="27"/>
          <w:szCs w:val="27"/>
        </w:rPr>
        <w:t>thu</w:t>
      </w:r>
      <w:proofErr w:type="gramEnd"/>
      <w:r w:rsidRPr="006D2DA2">
        <w:rPr>
          <w:rFonts w:eastAsia="Times New Roman"/>
          <w:b/>
          <w:bCs/>
          <w:color w:val="000000"/>
          <w:sz w:val="27"/>
          <w:szCs w:val="27"/>
        </w:rPr>
        <w:t xml:space="preserve"> phí sử dụng đường bộ cho Quỹ trung ương và Quỹ địa phương</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1. Phí sử dụng đường bộ </w:t>
      </w:r>
      <w:proofErr w:type="gramStart"/>
      <w:r w:rsidRPr="006D2DA2">
        <w:rPr>
          <w:rFonts w:eastAsia="Times New Roman"/>
          <w:color w:val="000000"/>
          <w:sz w:val="27"/>
          <w:szCs w:val="27"/>
        </w:rPr>
        <w:t>thu</w:t>
      </w:r>
      <w:proofErr w:type="gramEnd"/>
      <w:r w:rsidRPr="006D2DA2">
        <w:rPr>
          <w:rFonts w:eastAsia="Times New Roman"/>
          <w:color w:val="000000"/>
          <w:sz w:val="27"/>
          <w:szCs w:val="27"/>
        </w:rPr>
        <w:t xml:space="preserve"> được đối với mô tô tại địa phương nào bổ sung vào Quỹ của địa phương đó.</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2. Phí sử dụng đường bộ </w:t>
      </w:r>
      <w:proofErr w:type="gramStart"/>
      <w:r w:rsidRPr="006D2DA2">
        <w:rPr>
          <w:rFonts w:eastAsia="Times New Roman"/>
          <w:color w:val="000000"/>
          <w:sz w:val="27"/>
          <w:szCs w:val="27"/>
        </w:rPr>
        <w:t>thu</w:t>
      </w:r>
      <w:proofErr w:type="gramEnd"/>
      <w:r w:rsidRPr="006D2DA2">
        <w:rPr>
          <w:rFonts w:eastAsia="Times New Roman"/>
          <w:color w:val="000000"/>
          <w:sz w:val="27"/>
          <w:szCs w:val="27"/>
        </w:rPr>
        <w:t xml:space="preserve"> được đối với ô tô phân chia cho Quỹ trung ương 65%, cho các Quỹ địa phương 35%.</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3. Trên cơ sở số kinh phí phân chia cho các Quỹ địa phương nêu tại khoản 2 Điều này, Hội đồng quản lý Quỹ trung ương phân chia kinh phí cho từng Quỹ địa phương căn cứ vào chiều dài đường bộ của địa phương, số xe ô tô quy tiêu chuẩn đăng ký tại địa phương và hệ số khó khăn về nguồn thu của từng địa phương.</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4. Trong trường hợp cần thiết, giao Thủ tướng Chính phủ điều chỉnh tỷ lệ phân chia cho Quỹ trung ương, Quỹ địa phương phù hợp với từng thời kỳ căn cứ đề nghị của Bộ Giao thông vận tải và Bộ Tài chính.</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Điều 7.</w:t>
      </w:r>
      <w:proofErr w:type="gramEnd"/>
      <w:r w:rsidRPr="006D2DA2">
        <w:rPr>
          <w:rFonts w:eastAsia="Times New Roman"/>
          <w:b/>
          <w:bCs/>
          <w:color w:val="000000"/>
          <w:sz w:val="27"/>
          <w:szCs w:val="27"/>
        </w:rPr>
        <w:t xml:space="preserve"> Nội dung chi của Quỹ</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Quỹ trung ương được sử dụng cho công tác bảo trì, quản lý hệ thống quốc lộ; Quỹ địa phương được sử dụng cho công tác bảo trì, quản lý hệ thống đường bộ địa phương, do địa phương chịu trách nhiệm bảo trì, quản lý theo phân cấp của Hội đồng nhân dân cấp tỉnh. Nội dung chi của Quỹ bao gồm:</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1. Chi bảo trì công trình đường bộ.</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2. Chi cho các nhiệm vụ quản lý công trình đường bộ.</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3. Chi hoạt động của bộ máy quản lý Quỹ.</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4. Các khoản chi khác có liên quan đến bảo trì và quản lý công trình đường bộ do Hội đồng quản lý quỹ quyết định.</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Điều 8.</w:t>
      </w:r>
      <w:proofErr w:type="gramEnd"/>
      <w:r w:rsidRPr="006D2DA2">
        <w:rPr>
          <w:rFonts w:eastAsia="Times New Roman"/>
          <w:b/>
          <w:bCs/>
          <w:color w:val="000000"/>
          <w:sz w:val="27"/>
          <w:szCs w:val="27"/>
        </w:rPr>
        <w:t xml:space="preserve"> Quản lý tài chính Quỹ</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lastRenderedPageBreak/>
        <w:t xml:space="preserve">1. Hàng năm Hội đồng quản lý quỹ lập kế hoạch tài chính </w:t>
      </w:r>
      <w:proofErr w:type="gramStart"/>
      <w:r w:rsidRPr="006D2DA2">
        <w:rPr>
          <w:rFonts w:eastAsia="Times New Roman"/>
          <w:color w:val="000000"/>
          <w:sz w:val="27"/>
          <w:szCs w:val="27"/>
        </w:rPr>
        <w:t>thu</w:t>
      </w:r>
      <w:proofErr w:type="gramEnd"/>
      <w:r w:rsidRPr="006D2DA2">
        <w:rPr>
          <w:rFonts w:eastAsia="Times New Roman"/>
          <w:color w:val="000000"/>
          <w:sz w:val="27"/>
          <w:szCs w:val="27"/>
        </w:rPr>
        <w:t>, chi (trong đó xác định rõ phần ngân sách nhà nước bổ sung) gửi cơ quan giao thông vận tải và cơ quan tài chính cùng cấp. Cơ quan giao thông vận tải xem xét, tổng hợp phần ngân sách bổ sung cho Quỹ vào dự toán ngân sách nhà nước của cơ quan mình, gửi cơ quan tài chính cùng cấp để xem xét trình cơ quan nhà nước có thẩm quyền quyết định theo quy định của Luật Ngân sách nhà nước. Căn cứ số thu của Quỹ và kinh phí ngân sách nhà nước cấp bổ sung, Hội đồng quản lý quỹ có trách nhiệm phê duyệt kế hoạch thu, chi tài chính của Quỹ gửi cơ quan giao thông vận tải, cơ quan tài chính và Kho bạc Nhà nước theo quy định.</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2. Các đơn vị được giao nhiệm vụ </w:t>
      </w:r>
      <w:proofErr w:type="gramStart"/>
      <w:r w:rsidRPr="006D2DA2">
        <w:rPr>
          <w:rFonts w:eastAsia="Times New Roman"/>
          <w:color w:val="000000"/>
          <w:sz w:val="27"/>
          <w:szCs w:val="27"/>
        </w:rPr>
        <w:t>thu</w:t>
      </w:r>
      <w:proofErr w:type="gramEnd"/>
      <w:r w:rsidRPr="006D2DA2">
        <w:rPr>
          <w:rFonts w:eastAsia="Times New Roman"/>
          <w:color w:val="000000"/>
          <w:sz w:val="27"/>
          <w:szCs w:val="27"/>
        </w:rPr>
        <w:t xml:space="preserve"> phí sử dụng đường bộ có trách nhiệm tổ chức thu, nộp phí sử dụng đường bộ vào Quỹ theo quy định.</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3. Các đơn vị được giao quản lý kinh phí của Quỹ có trách nhiệm triển khai việc đấu thầu, đặt hàng, giao kế hoạch cho các đơn vị thực hiện công tác bảo trì, quản lý công trình đường bộ theo quy định. </w:t>
      </w:r>
      <w:proofErr w:type="gramStart"/>
      <w:r w:rsidRPr="006D2DA2">
        <w:rPr>
          <w:rFonts w:eastAsia="Times New Roman"/>
          <w:color w:val="000000"/>
          <w:sz w:val="27"/>
          <w:szCs w:val="27"/>
        </w:rPr>
        <w:t>Kho bạc Nhà nước kiểm soát các khoản chi từ Quỹ tương tự như các khoản chi từ ngân sách nhà nước.</w:t>
      </w:r>
      <w:proofErr w:type="gramEnd"/>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4. Việc quyết toán </w:t>
      </w:r>
      <w:proofErr w:type="gramStart"/>
      <w:r w:rsidRPr="006D2DA2">
        <w:rPr>
          <w:rFonts w:eastAsia="Times New Roman"/>
          <w:color w:val="000000"/>
          <w:sz w:val="27"/>
          <w:szCs w:val="27"/>
        </w:rPr>
        <w:t>thu</w:t>
      </w:r>
      <w:proofErr w:type="gramEnd"/>
      <w:r w:rsidRPr="006D2DA2">
        <w:rPr>
          <w:rFonts w:eastAsia="Times New Roman"/>
          <w:color w:val="000000"/>
          <w:sz w:val="27"/>
          <w:szCs w:val="27"/>
        </w:rPr>
        <w:t>, chi Quỹ thực hiện theo quy định hiện hành. Cuối năm, nguồn kinh phí chi không hết được chuyển sang năm sau để chi cho bảo trì, quản lý công trình đường bộ.</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5. Quỹ chịu sự kiểm tra, thanh tra, kiểm toán của các cơ quan nhà nước </w:t>
      </w:r>
      <w:proofErr w:type="gramStart"/>
      <w:r w:rsidRPr="006D2DA2">
        <w:rPr>
          <w:rFonts w:eastAsia="Times New Roman"/>
          <w:color w:val="000000"/>
          <w:sz w:val="27"/>
          <w:szCs w:val="27"/>
        </w:rPr>
        <w:t>theo</w:t>
      </w:r>
      <w:proofErr w:type="gramEnd"/>
      <w:r w:rsidRPr="006D2DA2">
        <w:rPr>
          <w:rFonts w:eastAsia="Times New Roman"/>
          <w:color w:val="000000"/>
          <w:sz w:val="27"/>
          <w:szCs w:val="27"/>
        </w:rPr>
        <w:t xml:space="preserve"> quy định.</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Chương 3.</w:t>
      </w:r>
      <w:proofErr w:type="gramEnd"/>
    </w:p>
    <w:p w:rsidR="006D2DA2" w:rsidRPr="006D2DA2" w:rsidRDefault="006D2DA2" w:rsidP="006D2DA2">
      <w:pPr>
        <w:spacing w:before="120" w:after="0" w:line="240" w:lineRule="auto"/>
        <w:jc w:val="center"/>
        <w:rPr>
          <w:rFonts w:eastAsia="Times New Roman"/>
          <w:color w:val="000000"/>
          <w:sz w:val="27"/>
          <w:szCs w:val="27"/>
        </w:rPr>
      </w:pPr>
      <w:r w:rsidRPr="006D2DA2">
        <w:rPr>
          <w:rFonts w:eastAsia="Times New Roman"/>
          <w:b/>
          <w:bCs/>
          <w:color w:val="000000"/>
          <w:sz w:val="27"/>
          <w:szCs w:val="27"/>
        </w:rPr>
        <w:t>TỔ CHỨC THỰC HIỆN</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Điều 9.</w:t>
      </w:r>
      <w:proofErr w:type="gramEnd"/>
      <w:r w:rsidRPr="006D2DA2">
        <w:rPr>
          <w:rFonts w:eastAsia="Times New Roman"/>
          <w:b/>
          <w:bCs/>
          <w:color w:val="000000"/>
          <w:sz w:val="27"/>
          <w:szCs w:val="27"/>
        </w:rPr>
        <w:t xml:space="preserve"> Trách nhiệm của Hội đồng quản lý quỹ</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1. Đề xuất điều chỉnh các quy định liên quan đến nguồn </w:t>
      </w:r>
      <w:proofErr w:type="gramStart"/>
      <w:r w:rsidRPr="006D2DA2">
        <w:rPr>
          <w:rFonts w:eastAsia="Times New Roman"/>
          <w:color w:val="000000"/>
          <w:sz w:val="27"/>
          <w:szCs w:val="27"/>
        </w:rPr>
        <w:t>thu</w:t>
      </w:r>
      <w:proofErr w:type="gramEnd"/>
      <w:r w:rsidRPr="006D2DA2">
        <w:rPr>
          <w:rFonts w:eastAsia="Times New Roman"/>
          <w:color w:val="000000"/>
          <w:sz w:val="27"/>
          <w:szCs w:val="27"/>
        </w:rPr>
        <w:t xml:space="preserve"> của Quỹ và việc sửa đổi, bổ sung các quy định liên quan đến hoạt động của Quỹ.</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2. Xây dựng, phê duyệt kế hoạch tài chính </w:t>
      </w:r>
      <w:proofErr w:type="gramStart"/>
      <w:r w:rsidRPr="006D2DA2">
        <w:rPr>
          <w:rFonts w:eastAsia="Times New Roman"/>
          <w:color w:val="000000"/>
          <w:sz w:val="27"/>
          <w:szCs w:val="27"/>
        </w:rPr>
        <w:t>thu</w:t>
      </w:r>
      <w:proofErr w:type="gramEnd"/>
      <w:r w:rsidRPr="006D2DA2">
        <w:rPr>
          <w:rFonts w:eastAsia="Times New Roman"/>
          <w:color w:val="000000"/>
          <w:sz w:val="27"/>
          <w:szCs w:val="27"/>
        </w:rPr>
        <w:t>, chi của Quỹ.</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3. Kiểm tra, đánh giá việc thực hiện kế hoạch tài chính </w:t>
      </w:r>
      <w:proofErr w:type="gramStart"/>
      <w:r w:rsidRPr="006D2DA2">
        <w:rPr>
          <w:rFonts w:eastAsia="Times New Roman"/>
          <w:color w:val="000000"/>
          <w:sz w:val="27"/>
          <w:szCs w:val="27"/>
        </w:rPr>
        <w:t>thu</w:t>
      </w:r>
      <w:proofErr w:type="gramEnd"/>
      <w:r w:rsidRPr="006D2DA2">
        <w:rPr>
          <w:rFonts w:eastAsia="Times New Roman"/>
          <w:color w:val="000000"/>
          <w:sz w:val="27"/>
          <w:szCs w:val="27"/>
        </w:rPr>
        <w:t>, chi của Quỹ.</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4. Quyết toán </w:t>
      </w:r>
      <w:proofErr w:type="gramStart"/>
      <w:r w:rsidRPr="006D2DA2">
        <w:rPr>
          <w:rFonts w:eastAsia="Times New Roman"/>
          <w:color w:val="000000"/>
          <w:sz w:val="27"/>
          <w:szCs w:val="27"/>
        </w:rPr>
        <w:t>thu</w:t>
      </w:r>
      <w:proofErr w:type="gramEnd"/>
      <w:r w:rsidRPr="006D2DA2">
        <w:rPr>
          <w:rFonts w:eastAsia="Times New Roman"/>
          <w:color w:val="000000"/>
          <w:sz w:val="27"/>
          <w:szCs w:val="27"/>
        </w:rPr>
        <w:t>, chi Quỹ theo quy định.</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5. Quản lý tài chính, tài sản được giao </w:t>
      </w:r>
      <w:proofErr w:type="gramStart"/>
      <w:r w:rsidRPr="006D2DA2">
        <w:rPr>
          <w:rFonts w:eastAsia="Times New Roman"/>
          <w:color w:val="000000"/>
          <w:sz w:val="27"/>
          <w:szCs w:val="27"/>
        </w:rPr>
        <w:t>theo</w:t>
      </w:r>
      <w:proofErr w:type="gramEnd"/>
      <w:r w:rsidRPr="006D2DA2">
        <w:rPr>
          <w:rFonts w:eastAsia="Times New Roman"/>
          <w:color w:val="000000"/>
          <w:sz w:val="27"/>
          <w:szCs w:val="27"/>
        </w:rPr>
        <w:t xml:space="preserve"> quy định.</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6. Thực hiện các nhiệm vụ khác do cơ quan có thẩm quyền giao.</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Điều 10.</w:t>
      </w:r>
      <w:proofErr w:type="gramEnd"/>
      <w:r w:rsidRPr="006D2DA2">
        <w:rPr>
          <w:rFonts w:eastAsia="Times New Roman"/>
          <w:b/>
          <w:bCs/>
          <w:color w:val="000000"/>
          <w:sz w:val="27"/>
          <w:szCs w:val="27"/>
        </w:rPr>
        <w:t xml:space="preserve"> Trách nhiệm của Bộ Giao thông vận tải</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1. Quản lý nhà nước về đường bộ </w:t>
      </w:r>
      <w:proofErr w:type="gramStart"/>
      <w:r w:rsidRPr="006D2DA2">
        <w:rPr>
          <w:rFonts w:eastAsia="Times New Roman"/>
          <w:color w:val="000000"/>
          <w:sz w:val="27"/>
          <w:szCs w:val="27"/>
        </w:rPr>
        <w:t>theo</w:t>
      </w:r>
      <w:proofErr w:type="gramEnd"/>
      <w:r w:rsidRPr="006D2DA2">
        <w:rPr>
          <w:rFonts w:eastAsia="Times New Roman"/>
          <w:color w:val="000000"/>
          <w:sz w:val="27"/>
          <w:szCs w:val="27"/>
        </w:rPr>
        <w:t xml:space="preserve"> quy định của Luật Giao thông đường bộ.</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2. Chỉ đạo, kiểm tra việc quản lý </w:t>
      </w:r>
      <w:proofErr w:type="gramStart"/>
      <w:r w:rsidRPr="006D2DA2">
        <w:rPr>
          <w:rFonts w:eastAsia="Times New Roman"/>
          <w:color w:val="000000"/>
          <w:sz w:val="27"/>
          <w:szCs w:val="27"/>
        </w:rPr>
        <w:t>thu</w:t>
      </w:r>
      <w:proofErr w:type="gramEnd"/>
      <w:r w:rsidRPr="006D2DA2">
        <w:rPr>
          <w:rFonts w:eastAsia="Times New Roman"/>
          <w:color w:val="000000"/>
          <w:sz w:val="27"/>
          <w:szCs w:val="27"/>
        </w:rPr>
        <w:t>, sử dụng và tổ chức công tác quyết toán Quỹ trung ương theo quy định.</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lastRenderedPageBreak/>
        <w:t xml:space="preserve">3. Chủ trì xem xét đề xuất của Hội đồng quản lý quỹ về điều chỉnh các quy định liên quan đến nguồn </w:t>
      </w:r>
      <w:proofErr w:type="gramStart"/>
      <w:r w:rsidRPr="006D2DA2">
        <w:rPr>
          <w:rFonts w:eastAsia="Times New Roman"/>
          <w:color w:val="000000"/>
          <w:sz w:val="27"/>
          <w:szCs w:val="27"/>
        </w:rPr>
        <w:t>thu</w:t>
      </w:r>
      <w:proofErr w:type="gramEnd"/>
      <w:r w:rsidRPr="006D2DA2">
        <w:rPr>
          <w:rFonts w:eastAsia="Times New Roman"/>
          <w:color w:val="000000"/>
          <w:sz w:val="27"/>
          <w:szCs w:val="27"/>
        </w:rPr>
        <w:t xml:space="preserve"> của Quỹ và việc sửa đổi, bổ sung các quy định liên quan đến hoạt động của Quỹ để ban hành hoặc trình cơ quan Nhà nước có thẩm quyền ban hành.</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4. Chủ trì, phối hợp với Bộ Tài chính trình Thủ tướng Chính phủ điều chỉnh tỷ lệ phân chia nguồn thu phí sử dụng đường bộ giữa Quỹ trung ương và Quỹ địa phương quy định tại khoản 2 Điều 6 Nghị định này cho phù hợp với từng thời kỳ.</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Điều 11.</w:t>
      </w:r>
      <w:proofErr w:type="gramEnd"/>
      <w:r w:rsidRPr="006D2DA2">
        <w:rPr>
          <w:rFonts w:eastAsia="Times New Roman"/>
          <w:b/>
          <w:bCs/>
          <w:color w:val="000000"/>
          <w:sz w:val="27"/>
          <w:szCs w:val="27"/>
        </w:rPr>
        <w:t xml:space="preserve"> Trách nhiệm của Bộ Tài chính</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1. Bảo đảm nguồn ngân sách trung ương cấp cho Quỹ trung ương.</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2. Phối hợp với Bộ Giao thông vận tải kiểm tra việc quản lý </w:t>
      </w:r>
      <w:proofErr w:type="gramStart"/>
      <w:r w:rsidRPr="006D2DA2">
        <w:rPr>
          <w:rFonts w:eastAsia="Times New Roman"/>
          <w:color w:val="000000"/>
          <w:sz w:val="27"/>
          <w:szCs w:val="27"/>
        </w:rPr>
        <w:t>thu</w:t>
      </w:r>
      <w:proofErr w:type="gramEnd"/>
      <w:r w:rsidRPr="006D2DA2">
        <w:rPr>
          <w:rFonts w:eastAsia="Times New Roman"/>
          <w:color w:val="000000"/>
          <w:sz w:val="27"/>
          <w:szCs w:val="27"/>
        </w:rPr>
        <w:t>, sử dụng Quỹ trung ương theo quy định hiện hành.</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3. Hướng dẫn chế độ quản lý </w:t>
      </w:r>
      <w:proofErr w:type="gramStart"/>
      <w:r w:rsidRPr="006D2DA2">
        <w:rPr>
          <w:rFonts w:eastAsia="Times New Roman"/>
          <w:color w:val="000000"/>
          <w:sz w:val="27"/>
          <w:szCs w:val="27"/>
        </w:rPr>
        <w:t>thu</w:t>
      </w:r>
      <w:proofErr w:type="gramEnd"/>
      <w:r w:rsidRPr="006D2DA2">
        <w:rPr>
          <w:rFonts w:eastAsia="Times New Roman"/>
          <w:color w:val="000000"/>
          <w:sz w:val="27"/>
          <w:szCs w:val="27"/>
        </w:rPr>
        <w:t xml:space="preserve"> phí sử dụng đường bộ; ban hành mức thu phí sử dụng đường bộ được thu hàng năm trên đầu phương tiện đối với xe ô tô và khung mức thu phí sử dụng đường bộ được thu hàng năm đối với xe mô tô.</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4. Chủ trì, phối hợp với Bộ Giao thông vận tải hướng dẫn chế độ quản lý và sử dụng Quỹ bảo trì đường bộ.</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Điều 12.</w:t>
      </w:r>
      <w:proofErr w:type="gramEnd"/>
      <w:r w:rsidRPr="006D2DA2">
        <w:rPr>
          <w:rFonts w:eastAsia="Times New Roman"/>
          <w:b/>
          <w:bCs/>
          <w:color w:val="000000"/>
          <w:sz w:val="27"/>
          <w:szCs w:val="27"/>
        </w:rPr>
        <w:t xml:space="preserve"> Trách nhiệm của Ủy ban nhân dân cấp tỉnh</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1. Bảo đảm nguồn ngân sách địa phương cấp cho Quỹ địa phương.</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2. Ban hành mức </w:t>
      </w:r>
      <w:proofErr w:type="gramStart"/>
      <w:r w:rsidRPr="006D2DA2">
        <w:rPr>
          <w:rFonts w:eastAsia="Times New Roman"/>
          <w:color w:val="000000"/>
          <w:sz w:val="27"/>
          <w:szCs w:val="27"/>
        </w:rPr>
        <w:t>thu</w:t>
      </w:r>
      <w:proofErr w:type="gramEnd"/>
      <w:r w:rsidRPr="006D2DA2">
        <w:rPr>
          <w:rFonts w:eastAsia="Times New Roman"/>
          <w:color w:val="000000"/>
          <w:sz w:val="27"/>
          <w:szCs w:val="27"/>
        </w:rPr>
        <w:t xml:space="preserve"> phí sử dụng đường bộ được thu hàng năm trên đầu phương tiện đối với xe mô tô trong khung mức thu phí sử dụng đường bộ đối với xe mô tô do Bộ Tài chính ban hành. Tổ chức </w:t>
      </w:r>
      <w:proofErr w:type="gramStart"/>
      <w:r w:rsidRPr="006D2DA2">
        <w:rPr>
          <w:rFonts w:eastAsia="Times New Roman"/>
          <w:color w:val="000000"/>
          <w:sz w:val="27"/>
          <w:szCs w:val="27"/>
        </w:rPr>
        <w:t>thu</w:t>
      </w:r>
      <w:proofErr w:type="gramEnd"/>
      <w:r w:rsidRPr="006D2DA2">
        <w:rPr>
          <w:rFonts w:eastAsia="Times New Roman"/>
          <w:color w:val="000000"/>
          <w:sz w:val="27"/>
          <w:szCs w:val="27"/>
        </w:rPr>
        <w:t xml:space="preserve"> phí sử dụng đường bộ đối với mô tô trên địa bàn địa phương.</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xml:space="preserve">3. Chỉ đạo, kiểm tra việc quản lý </w:t>
      </w:r>
      <w:proofErr w:type="gramStart"/>
      <w:r w:rsidRPr="006D2DA2">
        <w:rPr>
          <w:rFonts w:eastAsia="Times New Roman"/>
          <w:color w:val="000000"/>
          <w:sz w:val="27"/>
          <w:szCs w:val="27"/>
        </w:rPr>
        <w:t>thu</w:t>
      </w:r>
      <w:proofErr w:type="gramEnd"/>
      <w:r w:rsidRPr="006D2DA2">
        <w:rPr>
          <w:rFonts w:eastAsia="Times New Roman"/>
          <w:color w:val="000000"/>
          <w:sz w:val="27"/>
          <w:szCs w:val="27"/>
        </w:rPr>
        <w:t>, sử dụng và tổ chức công tác quyết toán Quỹ địa phương theo quy định.</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Chương 4.</w:t>
      </w:r>
      <w:proofErr w:type="gramEnd"/>
    </w:p>
    <w:p w:rsidR="006D2DA2" w:rsidRPr="006D2DA2" w:rsidRDefault="006D2DA2" w:rsidP="006D2DA2">
      <w:pPr>
        <w:spacing w:before="120" w:after="0" w:line="240" w:lineRule="auto"/>
        <w:jc w:val="center"/>
        <w:rPr>
          <w:rFonts w:eastAsia="Times New Roman"/>
          <w:color w:val="000000"/>
          <w:sz w:val="27"/>
          <w:szCs w:val="27"/>
        </w:rPr>
      </w:pPr>
      <w:r w:rsidRPr="006D2DA2">
        <w:rPr>
          <w:rFonts w:eastAsia="Times New Roman"/>
          <w:b/>
          <w:bCs/>
          <w:color w:val="000000"/>
          <w:sz w:val="27"/>
          <w:szCs w:val="27"/>
        </w:rPr>
        <w:t>ĐIỀU KHOẢN THI HÀNH</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Điều 13.</w:t>
      </w:r>
      <w:proofErr w:type="gramEnd"/>
      <w:r w:rsidRPr="006D2DA2">
        <w:rPr>
          <w:rFonts w:eastAsia="Times New Roman"/>
          <w:b/>
          <w:bCs/>
          <w:color w:val="000000"/>
          <w:sz w:val="27"/>
          <w:szCs w:val="27"/>
        </w:rPr>
        <w:t xml:space="preserve"> Hiệu lực thi hành</w:t>
      </w:r>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color w:val="000000"/>
          <w:sz w:val="27"/>
          <w:szCs w:val="27"/>
        </w:rPr>
        <w:t>Nghị định này có hiệu lực thi hành kể từ ngày 01 tháng 6 năm 2012.</w:t>
      </w:r>
      <w:proofErr w:type="gramEnd"/>
    </w:p>
    <w:p w:rsidR="006D2DA2" w:rsidRPr="006D2DA2" w:rsidRDefault="006D2DA2" w:rsidP="006D2DA2">
      <w:pPr>
        <w:spacing w:before="120" w:after="0" w:line="240" w:lineRule="auto"/>
        <w:rPr>
          <w:rFonts w:eastAsia="Times New Roman"/>
          <w:color w:val="000000"/>
          <w:sz w:val="27"/>
          <w:szCs w:val="27"/>
        </w:rPr>
      </w:pPr>
      <w:proofErr w:type="gramStart"/>
      <w:r w:rsidRPr="006D2DA2">
        <w:rPr>
          <w:rFonts w:eastAsia="Times New Roman"/>
          <w:b/>
          <w:bCs/>
          <w:color w:val="000000"/>
          <w:sz w:val="27"/>
          <w:szCs w:val="27"/>
        </w:rPr>
        <w:t>Điều 14.</w:t>
      </w:r>
      <w:proofErr w:type="gramEnd"/>
      <w:r w:rsidRPr="006D2DA2">
        <w:rPr>
          <w:rFonts w:eastAsia="Times New Roman"/>
          <w:b/>
          <w:bCs/>
          <w:color w:val="000000"/>
          <w:sz w:val="27"/>
          <w:szCs w:val="27"/>
        </w:rPr>
        <w:t xml:space="preserve"> Tổ chức thực hiện</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Bộ trưởng, Thủ trưởng cơ quan ngang Bộ, Thủ trưởng cơ quan thuộc Chính phủ, Chủ tịch Ủy ban nhân dân các tỉnh, thành phố trực thuộc Trung ương chịu trách nhiệm thi hành Nghị định này.</w:t>
      </w:r>
    </w:p>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t> </w:t>
      </w:r>
    </w:p>
    <w:tbl>
      <w:tblPr>
        <w:tblW w:w="8928" w:type="dxa"/>
        <w:tblCellMar>
          <w:left w:w="0" w:type="dxa"/>
          <w:right w:w="0" w:type="dxa"/>
        </w:tblCellMar>
        <w:tblLook w:val="04A0"/>
      </w:tblPr>
      <w:tblGrid>
        <w:gridCol w:w="4464"/>
        <w:gridCol w:w="4464"/>
      </w:tblGrid>
      <w:tr w:rsidR="006D2DA2" w:rsidRPr="006D2DA2" w:rsidTr="006D2DA2">
        <w:tc>
          <w:tcPr>
            <w:tcW w:w="4464" w:type="dxa"/>
            <w:tcMar>
              <w:top w:w="0" w:type="dxa"/>
              <w:left w:w="108" w:type="dxa"/>
              <w:bottom w:w="0" w:type="dxa"/>
              <w:right w:w="108" w:type="dxa"/>
            </w:tcMar>
            <w:hideMark/>
          </w:tcPr>
          <w:p w:rsidR="006D2DA2" w:rsidRPr="006D2DA2" w:rsidRDefault="006D2DA2" w:rsidP="006D2DA2">
            <w:pPr>
              <w:spacing w:before="120" w:after="0" w:line="240" w:lineRule="auto"/>
              <w:rPr>
                <w:rFonts w:eastAsia="Times New Roman"/>
                <w:sz w:val="24"/>
              </w:rPr>
            </w:pPr>
            <w:r w:rsidRPr="006D2DA2">
              <w:rPr>
                <w:rFonts w:eastAsia="Times New Roman"/>
                <w:b/>
                <w:bCs/>
                <w:sz w:val="24"/>
              </w:rPr>
              <w:t> </w:t>
            </w:r>
          </w:p>
          <w:p w:rsidR="006D2DA2" w:rsidRPr="006D2DA2" w:rsidRDefault="006D2DA2" w:rsidP="006D2DA2">
            <w:pPr>
              <w:spacing w:before="120" w:after="0" w:line="240" w:lineRule="auto"/>
              <w:rPr>
                <w:rFonts w:eastAsia="Times New Roman"/>
                <w:sz w:val="24"/>
              </w:rPr>
            </w:pPr>
            <w:r w:rsidRPr="006D2DA2">
              <w:rPr>
                <w:rFonts w:eastAsia="Times New Roman"/>
                <w:b/>
                <w:bCs/>
                <w:i/>
                <w:iCs/>
                <w:sz w:val="24"/>
              </w:rPr>
              <w:t>Nơi nhận:</w:t>
            </w:r>
            <w:r w:rsidRPr="006D2DA2">
              <w:rPr>
                <w:rFonts w:eastAsia="Times New Roman"/>
                <w:b/>
                <w:bCs/>
                <w:i/>
                <w:iCs/>
                <w:sz w:val="24"/>
              </w:rPr>
              <w:br/>
            </w:r>
            <w:r w:rsidRPr="006D2DA2">
              <w:rPr>
                <w:rFonts w:eastAsia="Times New Roman"/>
                <w:sz w:val="16"/>
                <w:szCs w:val="16"/>
              </w:rPr>
              <w:t>- Ban Bí thư Trung ương Đảng;</w:t>
            </w:r>
            <w:r w:rsidRPr="006D2DA2">
              <w:rPr>
                <w:rFonts w:eastAsia="Times New Roman"/>
                <w:sz w:val="16"/>
                <w:szCs w:val="16"/>
              </w:rPr>
              <w:br/>
            </w:r>
            <w:r w:rsidRPr="006D2DA2">
              <w:rPr>
                <w:rFonts w:eastAsia="Times New Roman"/>
                <w:sz w:val="16"/>
                <w:szCs w:val="16"/>
              </w:rPr>
              <w:lastRenderedPageBreak/>
              <w:t>- Thủ tướng, các Phó Thủ tướng Chính phủ;</w:t>
            </w:r>
            <w:r w:rsidRPr="006D2DA2">
              <w:rPr>
                <w:rFonts w:eastAsia="Times New Roman"/>
                <w:sz w:val="16"/>
                <w:szCs w:val="16"/>
              </w:rPr>
              <w:br/>
              <w:t>- Các Bộ, cơ quan ngang Bộ, cơ quan thuộc CP;</w:t>
            </w:r>
            <w:r w:rsidRPr="006D2DA2">
              <w:rPr>
                <w:rFonts w:eastAsia="Times New Roman"/>
                <w:sz w:val="16"/>
                <w:szCs w:val="16"/>
              </w:rPr>
              <w:br/>
              <w:t>- VP BCĐ TW về phòng, chống tham nhũng;</w:t>
            </w:r>
            <w:r w:rsidRPr="006D2DA2">
              <w:rPr>
                <w:rFonts w:eastAsia="Times New Roman"/>
                <w:sz w:val="16"/>
                <w:szCs w:val="16"/>
              </w:rPr>
              <w:br/>
              <w:t>- HĐND, UBND các tỉnh, TP trực thuộc TW;</w:t>
            </w:r>
            <w:r w:rsidRPr="006D2DA2">
              <w:rPr>
                <w:rFonts w:eastAsia="Times New Roman"/>
                <w:sz w:val="16"/>
                <w:szCs w:val="16"/>
              </w:rPr>
              <w:br/>
              <w:t>- Văn phòng TW và các Ban của Đảng;</w:t>
            </w:r>
            <w:r w:rsidRPr="006D2DA2">
              <w:rPr>
                <w:rFonts w:eastAsia="Times New Roman"/>
                <w:sz w:val="16"/>
                <w:szCs w:val="16"/>
              </w:rPr>
              <w:br/>
              <w:t>- Văn phòng Chủ tịch nước;</w:t>
            </w:r>
            <w:r w:rsidRPr="006D2DA2">
              <w:rPr>
                <w:rFonts w:eastAsia="Times New Roman"/>
                <w:sz w:val="16"/>
                <w:szCs w:val="16"/>
              </w:rPr>
              <w:br/>
              <w:t>- Hội đồng Dân tộc và các UB của Quốc hội;</w:t>
            </w:r>
            <w:r w:rsidRPr="006D2DA2">
              <w:rPr>
                <w:rFonts w:eastAsia="Times New Roman"/>
                <w:sz w:val="16"/>
                <w:szCs w:val="16"/>
              </w:rPr>
              <w:br/>
              <w:t>- Văn phòng Quốc hội;</w:t>
            </w:r>
            <w:r w:rsidRPr="006D2DA2">
              <w:rPr>
                <w:rFonts w:eastAsia="Times New Roman"/>
                <w:sz w:val="16"/>
                <w:szCs w:val="16"/>
              </w:rPr>
              <w:br/>
              <w:t>- Tòa án nhân dân tối cao;</w:t>
            </w:r>
            <w:r w:rsidRPr="006D2DA2">
              <w:rPr>
                <w:rFonts w:eastAsia="Times New Roman"/>
                <w:sz w:val="16"/>
                <w:szCs w:val="16"/>
              </w:rPr>
              <w:br/>
              <w:t>- Viện Kiểm sát nhân dân tối cao;</w:t>
            </w:r>
            <w:r w:rsidRPr="006D2DA2">
              <w:rPr>
                <w:rFonts w:eastAsia="Times New Roman"/>
                <w:sz w:val="16"/>
                <w:szCs w:val="16"/>
              </w:rPr>
              <w:br/>
              <w:t>- UB Giám sát tài chính QG;</w:t>
            </w:r>
            <w:r w:rsidRPr="006D2DA2">
              <w:rPr>
                <w:rFonts w:eastAsia="Times New Roman"/>
                <w:sz w:val="16"/>
                <w:szCs w:val="16"/>
              </w:rPr>
              <w:br/>
              <w:t>- Kiểm toán Nhà nước;</w:t>
            </w:r>
            <w:r w:rsidRPr="006D2DA2">
              <w:rPr>
                <w:rFonts w:eastAsia="Times New Roman"/>
                <w:sz w:val="16"/>
                <w:szCs w:val="16"/>
              </w:rPr>
              <w:br/>
              <w:t>- Ngân hàng Chính sách Xã hội;</w:t>
            </w:r>
            <w:r w:rsidRPr="006D2DA2">
              <w:rPr>
                <w:rFonts w:eastAsia="Times New Roman"/>
                <w:sz w:val="16"/>
                <w:szCs w:val="16"/>
              </w:rPr>
              <w:br/>
              <w:t>- Ngân hàng Phát triển Việt Nam;</w:t>
            </w:r>
            <w:r w:rsidRPr="006D2DA2">
              <w:rPr>
                <w:rFonts w:eastAsia="Times New Roman"/>
                <w:sz w:val="16"/>
                <w:szCs w:val="16"/>
              </w:rPr>
              <w:br/>
              <w:t>- Ủy ban TW mặt trận Tổ quốc Việt Nam;</w:t>
            </w:r>
            <w:r w:rsidRPr="006D2DA2">
              <w:rPr>
                <w:rFonts w:eastAsia="Times New Roman"/>
                <w:sz w:val="16"/>
              </w:rPr>
              <w:t> </w:t>
            </w:r>
            <w:r w:rsidRPr="006D2DA2">
              <w:rPr>
                <w:rFonts w:eastAsia="Times New Roman"/>
                <w:sz w:val="16"/>
                <w:szCs w:val="16"/>
              </w:rPr>
              <w:br/>
              <w:t>- Tổng cục Đường bộ Việt Nam;</w:t>
            </w:r>
            <w:r w:rsidRPr="006D2DA2">
              <w:rPr>
                <w:rFonts w:eastAsia="Times New Roman"/>
                <w:sz w:val="16"/>
                <w:szCs w:val="16"/>
              </w:rPr>
              <w:br/>
              <w:t>- Phòng Thương mại và Công nghiệp Việt Nam;</w:t>
            </w:r>
            <w:r w:rsidRPr="006D2DA2">
              <w:rPr>
                <w:rFonts w:eastAsia="Times New Roman"/>
                <w:sz w:val="16"/>
                <w:szCs w:val="16"/>
              </w:rPr>
              <w:br/>
              <w:t>- Hiệp hội vận tải ô tô Việt Nam;</w:t>
            </w:r>
            <w:r w:rsidRPr="006D2DA2">
              <w:rPr>
                <w:rFonts w:eastAsia="Times New Roman"/>
                <w:sz w:val="16"/>
                <w:szCs w:val="16"/>
              </w:rPr>
              <w:br/>
              <w:t>- Cơ quan Trung ương của các đoàn thể;</w:t>
            </w:r>
            <w:r w:rsidRPr="006D2DA2">
              <w:rPr>
                <w:rFonts w:eastAsia="Times New Roman"/>
                <w:sz w:val="16"/>
                <w:szCs w:val="16"/>
              </w:rPr>
              <w:br/>
              <w:t>- VPCP: BTCN, các PCN, Cổng TTĐT, các Vụ, Cục, đơn vị trực thuộc, Công báo;</w:t>
            </w:r>
            <w:r w:rsidRPr="006D2DA2">
              <w:rPr>
                <w:rFonts w:eastAsia="Times New Roman"/>
                <w:sz w:val="16"/>
                <w:szCs w:val="16"/>
              </w:rPr>
              <w:br/>
              <w:t>- Lưu: Văn thư, KTN (5b)</w:t>
            </w:r>
          </w:p>
        </w:tc>
        <w:tc>
          <w:tcPr>
            <w:tcW w:w="4464" w:type="dxa"/>
            <w:tcMar>
              <w:top w:w="0" w:type="dxa"/>
              <w:left w:w="108" w:type="dxa"/>
              <w:bottom w:w="0" w:type="dxa"/>
              <w:right w:w="108" w:type="dxa"/>
            </w:tcMar>
            <w:hideMark/>
          </w:tcPr>
          <w:p w:rsidR="006D2DA2" w:rsidRPr="006D2DA2" w:rsidRDefault="006D2DA2" w:rsidP="006D2DA2">
            <w:pPr>
              <w:spacing w:before="120" w:after="0" w:line="240" w:lineRule="auto"/>
              <w:jc w:val="center"/>
              <w:rPr>
                <w:rFonts w:eastAsia="Times New Roman"/>
                <w:sz w:val="24"/>
              </w:rPr>
            </w:pPr>
            <w:r w:rsidRPr="006D2DA2">
              <w:rPr>
                <w:rFonts w:eastAsia="Times New Roman"/>
                <w:b/>
                <w:bCs/>
                <w:sz w:val="24"/>
              </w:rPr>
              <w:lastRenderedPageBreak/>
              <w:t>TM. CHÍNH PHỦ </w:t>
            </w:r>
            <w:r w:rsidRPr="006D2DA2">
              <w:rPr>
                <w:rFonts w:eastAsia="Times New Roman"/>
                <w:b/>
                <w:bCs/>
                <w:sz w:val="24"/>
              </w:rPr>
              <w:br/>
              <w:t>THỦ TƯỚNG</w:t>
            </w:r>
            <w:r w:rsidRPr="006D2DA2">
              <w:rPr>
                <w:rFonts w:eastAsia="Times New Roman"/>
                <w:b/>
                <w:bCs/>
                <w:sz w:val="24"/>
              </w:rPr>
              <w:br/>
            </w:r>
            <w:r w:rsidRPr="006D2DA2">
              <w:rPr>
                <w:rFonts w:eastAsia="Times New Roman"/>
                <w:b/>
                <w:bCs/>
                <w:sz w:val="24"/>
              </w:rPr>
              <w:br/>
            </w:r>
            <w:r w:rsidRPr="006D2DA2">
              <w:rPr>
                <w:rFonts w:eastAsia="Times New Roman"/>
                <w:b/>
                <w:bCs/>
                <w:sz w:val="24"/>
              </w:rPr>
              <w:lastRenderedPageBreak/>
              <w:br/>
            </w:r>
            <w:r w:rsidRPr="006D2DA2">
              <w:rPr>
                <w:rFonts w:eastAsia="Times New Roman"/>
                <w:b/>
                <w:bCs/>
                <w:sz w:val="24"/>
              </w:rPr>
              <w:br/>
            </w:r>
            <w:r w:rsidRPr="006D2DA2">
              <w:rPr>
                <w:rFonts w:eastAsia="Times New Roman"/>
                <w:b/>
                <w:bCs/>
                <w:sz w:val="24"/>
              </w:rPr>
              <w:br/>
              <w:t>Nguyễn Tấn Dũng</w:t>
            </w:r>
          </w:p>
        </w:tc>
      </w:tr>
    </w:tbl>
    <w:p w:rsidR="006D2DA2" w:rsidRPr="006D2DA2" w:rsidRDefault="006D2DA2" w:rsidP="006D2DA2">
      <w:pPr>
        <w:spacing w:before="120" w:after="0" w:line="240" w:lineRule="auto"/>
        <w:rPr>
          <w:rFonts w:eastAsia="Times New Roman"/>
          <w:color w:val="000000"/>
          <w:sz w:val="27"/>
          <w:szCs w:val="27"/>
        </w:rPr>
      </w:pPr>
      <w:r w:rsidRPr="006D2DA2">
        <w:rPr>
          <w:rFonts w:eastAsia="Times New Roman"/>
          <w:color w:val="000000"/>
          <w:sz w:val="27"/>
          <w:szCs w:val="27"/>
        </w:rPr>
        <w:lastRenderedPageBreak/>
        <w:t> </w:t>
      </w:r>
    </w:p>
    <w:p w:rsidR="006D2DA2" w:rsidRPr="006D2DA2" w:rsidRDefault="006D2DA2" w:rsidP="006D2DA2">
      <w:pPr>
        <w:spacing w:after="0" w:line="240" w:lineRule="auto"/>
        <w:rPr>
          <w:rFonts w:eastAsia="Times New Roman"/>
          <w:color w:val="000000"/>
          <w:sz w:val="27"/>
          <w:szCs w:val="27"/>
        </w:rPr>
      </w:pPr>
      <w:r w:rsidRPr="006D2DA2">
        <w:rPr>
          <w:rFonts w:eastAsia="Times New Roman"/>
          <w:color w:val="000000"/>
          <w:sz w:val="27"/>
          <w:szCs w:val="27"/>
        </w:rPr>
        <w:t> </w:t>
      </w:r>
    </w:p>
    <w:p w:rsidR="00C1471F" w:rsidRDefault="00C1471F"/>
    <w:sectPr w:rsidR="00C1471F" w:rsidSect="00C14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6D2DA2"/>
    <w:rsid w:val="00340E49"/>
    <w:rsid w:val="006D2DA2"/>
    <w:rsid w:val="00B277B7"/>
    <w:rsid w:val="00C1471F"/>
    <w:rsid w:val="00E22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2DA2"/>
  </w:style>
</w:styles>
</file>

<file path=word/webSettings.xml><?xml version="1.0" encoding="utf-8"?>
<w:webSettings xmlns:r="http://schemas.openxmlformats.org/officeDocument/2006/relationships" xmlns:w="http://schemas.openxmlformats.org/wordprocessingml/2006/main">
  <w:divs>
    <w:div w:id="584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dc:creator>
  <cp:lastModifiedBy>Hang</cp:lastModifiedBy>
  <cp:revision>1</cp:revision>
  <dcterms:created xsi:type="dcterms:W3CDTF">2014-11-24T09:34:00Z</dcterms:created>
  <dcterms:modified xsi:type="dcterms:W3CDTF">2014-11-24T09:35:00Z</dcterms:modified>
</cp:coreProperties>
</file>